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Пояснения по ОЧНОЙ сдаче отчета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8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соответствии с Приложением 1 приказа по сдаче годового отчета направление БД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MEDCTAT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отчетных форм в формате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Word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всей дополнительной информации (пояснительные записки, приложения 4.1-4.15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и прочих пояснительных записок на электронную почту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hyperlink r:id="rId9" w:tooltip="mailto:Grigoliya@miac.nnov.ru" w:history="1"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  <w:lang w:val="en-US"/>
          </w:rPr>
          <w:t xml:space="preserve">Grigoliya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</w:rPr>
          <w:t xml:space="preserve">@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  <w:lang w:val="en-US"/>
          </w:rPr>
          <w:t xml:space="preserve">miac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</w:rPr>
          <w:t xml:space="preserve">.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  <w:lang w:val="en-US"/>
          </w:rPr>
          <w:t xml:space="preserve">nnov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</w:rPr>
          <w:t xml:space="preserve">.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pacing w:val="-6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в сроки указанные в Приложении 3.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8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сроки указанные в Приложении 3, для очной сдачи специалистам медицинских организаций прибыть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отделение медицинской статистики ГБУЗ НО «МИАЦ» по адресу: Нижний Новгород, ул. Решетниковская, д. 2 (2 этаж)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8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отделении статистики сдаются формы №№ 30, 12, 14, 14дс, 13, 32, 15, 1-РБ, 57, 16-ВН (перечисленные в обходном листе).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8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Сдача всех СПЕЦИАЛИЗИРОВАННЫХ ФОРМ: №№ 7, 33, 9, 34, 10, 36, 36-ПЛ, 11, 37, 19, 1-Дети (здрав), 54, 55, 56, 53, 64, 65 проходит в прежнем режиме, в удаленном формате.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8"/>
        <w:numPr>
          <w:ilvl w:val="0"/>
          <w:numId w:val="1"/>
        </w:numPr>
        <w:ind w:right="0"/>
        <w:jc w:val="both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Ход сдачи отчета нужно отслеживать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информационно-аналитической системе «БАРС.Мониторинг Здравоохранения» </w:t>
      </w:r>
      <w:hyperlink r:id="rId10" w:tooltip="http://monitoring.mznn.ru" w:history="1">
        <w:r>
          <w:rPr>
            <w:rStyle w:val="820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 xml:space="preserve">http://monitoring.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z w:val="28"/>
            <w:szCs w:val="28"/>
            <w:lang w:val="en-US"/>
          </w:rPr>
          <w:t xml:space="preserve">mznn</w:t>
        </w:r>
        <w:r>
          <w:rPr>
            <w:rStyle w:val="820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 xml:space="preserve">.ru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(отчетный период «Январь 2024»), отчетная форма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«Годовой отчет 2023», где видны все этапы приема отчета с изложенными замечаниями специалистов, назначенных сроках исправления.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9" w:right="0" w:hanging="1"/>
        <w:jc w:val="both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8"/>
          <w:szCs w:val="28"/>
        </w:rPr>
        <w:t xml:space="preserve">Окончательная сдача отчета считается в том случае, если установлен статус «Экспертиза»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информационно-аналитической системе «БАРС.Мониторинг Здравоохранения» по всем отчетным формам.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709" w:right="0" w:firstLine="0"/>
        <w:jc w:val="both"/>
        <w:tabs>
          <w:tab w:val="center" w:pos="5527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284" w:bottom="346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9">
    <w:name w:val="Основной шрифт абзаца"/>
    <w:next w:val="839"/>
    <w:link w:val="838"/>
    <w:uiPriority w:val="1"/>
    <w:semiHidden/>
    <w:unhideWhenUsed/>
  </w:style>
  <w:style w:type="table" w:styleId="840">
    <w:name w:val="Обычная таблица"/>
    <w:next w:val="840"/>
    <w:link w:val="838"/>
    <w:uiPriority w:val="99"/>
    <w:semiHidden/>
    <w:unhideWhenUsed/>
    <w:qFormat/>
    <w:tblPr/>
  </w:style>
  <w:style w:type="numbering" w:styleId="841">
    <w:name w:val="Нет списка"/>
    <w:next w:val="841"/>
    <w:link w:val="838"/>
    <w:uiPriority w:val="99"/>
    <w:semiHidden/>
    <w:unhideWhenUsed/>
  </w:style>
  <w:style w:type="table" w:styleId="842">
    <w:name w:val="Сетка таблицы"/>
    <w:basedOn w:val="840"/>
    <w:next w:val="842"/>
    <w:link w:val="838"/>
    <w:uiPriority w:val="59"/>
    <w:pPr>
      <w:spacing w:after="0" w:line="240" w:lineRule="auto"/>
    </w:pPr>
    <w:tblPr/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Grigoliya@miac.nnov.ru" TargetMode="External"/><Relationship Id="rId10" Type="http://schemas.openxmlformats.org/officeDocument/2006/relationships/hyperlink" Target="http://monitoring.mzn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91</cp:revision>
  <dcterms:created xsi:type="dcterms:W3CDTF">2011-10-26T06:39:00Z</dcterms:created>
  <dcterms:modified xsi:type="dcterms:W3CDTF">2023-12-26T13:03:30Z</dcterms:modified>
  <cp:version>786432</cp:version>
</cp:coreProperties>
</file>